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12" w:rsidRPr="006D4243" w:rsidRDefault="001F7F12">
      <w:pPr>
        <w:rPr>
          <w:szCs w:val="22"/>
        </w:rPr>
      </w:pPr>
    </w:p>
    <w:p w:rsidR="001F7F12" w:rsidRPr="006D4243" w:rsidRDefault="001F7F12" w:rsidP="006D4243">
      <w:pPr>
        <w:spacing w:after="0"/>
        <w:contextualSpacing/>
        <w:jc w:val="center"/>
        <w:rPr>
          <w:szCs w:val="22"/>
        </w:rPr>
      </w:pPr>
      <w:r w:rsidRPr="006D4243">
        <w:rPr>
          <w:szCs w:val="22"/>
        </w:rPr>
        <w:t xml:space="preserve">UNIONE ITALIANA DEI CIECHI E DEGLI IPOVEDENTI ONLUS </w:t>
      </w:r>
      <w:proofErr w:type="spellStart"/>
      <w:r w:rsidRPr="006D4243">
        <w:rPr>
          <w:szCs w:val="22"/>
        </w:rPr>
        <w:t>APS</w:t>
      </w:r>
      <w:proofErr w:type="spellEnd"/>
    </w:p>
    <w:p w:rsidR="001F7F12" w:rsidRPr="006D4243" w:rsidRDefault="001F7F12" w:rsidP="006D4243">
      <w:pPr>
        <w:spacing w:after="0"/>
        <w:contextualSpacing/>
        <w:jc w:val="center"/>
        <w:rPr>
          <w:szCs w:val="22"/>
        </w:rPr>
      </w:pPr>
      <w:r w:rsidRPr="006D4243">
        <w:rPr>
          <w:szCs w:val="22"/>
        </w:rPr>
        <w:t>SEZIONE TERRITORIALE DI SIENA</w:t>
      </w:r>
    </w:p>
    <w:p w:rsidR="006D4243" w:rsidRDefault="006D4243" w:rsidP="001F7F12">
      <w:pPr>
        <w:jc w:val="center"/>
        <w:rPr>
          <w:szCs w:val="22"/>
        </w:rPr>
      </w:pPr>
    </w:p>
    <w:p w:rsidR="001F7F12" w:rsidRPr="006D4243" w:rsidRDefault="001F7F12" w:rsidP="001F7F12">
      <w:pPr>
        <w:jc w:val="center"/>
        <w:rPr>
          <w:szCs w:val="22"/>
        </w:rPr>
      </w:pPr>
      <w:r w:rsidRPr="006D4243">
        <w:rPr>
          <w:szCs w:val="22"/>
        </w:rPr>
        <w:t>RELAZIONE AL BILANCIO CONSUNTIVO 2020</w:t>
      </w:r>
    </w:p>
    <w:p w:rsidR="001F7F12" w:rsidRPr="006D4243" w:rsidRDefault="001F7F12">
      <w:pPr>
        <w:rPr>
          <w:szCs w:val="22"/>
        </w:rPr>
      </w:pPr>
      <w:r w:rsidRPr="006D4243">
        <w:rPr>
          <w:szCs w:val="22"/>
        </w:rPr>
        <w:t>Il bilancio consuntivo 2020</w:t>
      </w:r>
      <w:r w:rsidR="00917096" w:rsidRPr="006D4243">
        <w:rPr>
          <w:szCs w:val="22"/>
        </w:rPr>
        <w:t xml:space="preserve"> si chiude con utile di esercizio di euro 1.362, generato da un totale di ricavi per euro </w:t>
      </w:r>
      <w:r w:rsidR="006D4243" w:rsidRPr="006D4243">
        <w:rPr>
          <w:rFonts w:eastAsia="Times New Roman"/>
          <w:szCs w:val="22"/>
          <w:lang w:eastAsia="it-IT"/>
        </w:rPr>
        <w:t>76.433</w:t>
      </w:r>
      <w:r w:rsidR="006D4243" w:rsidRPr="006D4243">
        <w:rPr>
          <w:rFonts w:eastAsia="Times New Roman"/>
          <w:szCs w:val="22"/>
          <w:lang w:eastAsia="it-IT"/>
        </w:rPr>
        <w:t xml:space="preserve"> </w:t>
      </w:r>
      <w:r w:rsidR="00917096" w:rsidRPr="006D4243">
        <w:rPr>
          <w:szCs w:val="22"/>
        </w:rPr>
        <w:t>e un totale di costi per euro</w:t>
      </w:r>
      <w:r w:rsidR="006D4243" w:rsidRPr="006D4243">
        <w:rPr>
          <w:szCs w:val="22"/>
        </w:rPr>
        <w:t xml:space="preserve"> </w:t>
      </w:r>
      <w:r w:rsidR="006D4243" w:rsidRPr="006D4243">
        <w:rPr>
          <w:rFonts w:eastAsia="Times New Roman"/>
          <w:bCs/>
          <w:szCs w:val="22"/>
          <w:lang w:eastAsia="it-IT"/>
        </w:rPr>
        <w:t>75.071</w:t>
      </w:r>
      <w:r w:rsidR="00917096" w:rsidRPr="006D4243">
        <w:rPr>
          <w:szCs w:val="22"/>
        </w:rPr>
        <w:t>.</w:t>
      </w:r>
    </w:p>
    <w:p w:rsidR="00917096" w:rsidRPr="006D4243" w:rsidRDefault="00917096">
      <w:pPr>
        <w:rPr>
          <w:szCs w:val="22"/>
        </w:rPr>
      </w:pPr>
      <w:r w:rsidRPr="006D4243">
        <w:rPr>
          <w:szCs w:val="22"/>
        </w:rPr>
        <w:t>Per quanto riguarda la situazione patrimoniale, l’anno si chiude con una liquidità di cassa di euro</w:t>
      </w:r>
      <w:r w:rsidR="00C82AF0" w:rsidRPr="006D4243">
        <w:rPr>
          <w:szCs w:val="22"/>
        </w:rPr>
        <w:t xml:space="preserve"> 75.850</w:t>
      </w:r>
      <w:r w:rsidRPr="006D4243">
        <w:rPr>
          <w:szCs w:val="22"/>
        </w:rPr>
        <w:t>, mentre il fondo di dotazione, comprensivo dell’utile generato dall’esercizio precedente di eur</w:t>
      </w:r>
      <w:r w:rsidR="00C82AF0" w:rsidRPr="006D4243">
        <w:rPr>
          <w:szCs w:val="22"/>
        </w:rPr>
        <w:t>o 2.451</w:t>
      </w:r>
      <w:r w:rsidRPr="006D4243">
        <w:rPr>
          <w:szCs w:val="22"/>
        </w:rPr>
        <w:t>, risulta complessivamente pari</w:t>
      </w:r>
      <w:r w:rsidR="00C82AF0" w:rsidRPr="006D4243">
        <w:rPr>
          <w:szCs w:val="22"/>
        </w:rPr>
        <w:t xml:space="preserve"> ad euro 93.834</w:t>
      </w:r>
      <w:r w:rsidRPr="006D4243">
        <w:rPr>
          <w:szCs w:val="22"/>
        </w:rPr>
        <w:t xml:space="preserve">. La situazione creditoria e debitoria, i cui dettagli sono ampiamente descritti nella nota integrativa, riporta crediti per euro </w:t>
      </w:r>
      <w:r w:rsidR="000C37DA" w:rsidRPr="006D4243">
        <w:rPr>
          <w:szCs w:val="22"/>
        </w:rPr>
        <w:t xml:space="preserve">38.799 </w:t>
      </w:r>
      <w:r w:rsidRPr="006D4243">
        <w:rPr>
          <w:szCs w:val="22"/>
        </w:rPr>
        <w:t xml:space="preserve">verso soggetti e enti privati e pubblici, e debiti per euro </w:t>
      </w:r>
      <w:r w:rsidR="00C82AF0" w:rsidRPr="006D4243">
        <w:rPr>
          <w:szCs w:val="22"/>
        </w:rPr>
        <w:t>20.764</w:t>
      </w:r>
      <w:r w:rsidR="00200906">
        <w:rPr>
          <w:szCs w:val="22"/>
        </w:rPr>
        <w:t xml:space="preserve"> </w:t>
      </w:r>
      <w:r w:rsidR="00C82AF0" w:rsidRPr="006D4243">
        <w:rPr>
          <w:szCs w:val="22"/>
        </w:rPr>
        <w:t>verso fornitori, Presidenza N</w:t>
      </w:r>
      <w:r w:rsidR="00034FAD" w:rsidRPr="006D4243">
        <w:rPr>
          <w:szCs w:val="22"/>
        </w:rPr>
        <w:t>azi</w:t>
      </w:r>
      <w:r w:rsidR="002B7EB0" w:rsidRPr="006D4243">
        <w:rPr>
          <w:szCs w:val="22"/>
        </w:rPr>
        <w:t>onale</w:t>
      </w:r>
      <w:r w:rsidR="00200906">
        <w:rPr>
          <w:szCs w:val="22"/>
        </w:rPr>
        <w:t xml:space="preserve"> e</w:t>
      </w:r>
      <w:r w:rsidR="00CD4EE6">
        <w:rPr>
          <w:szCs w:val="22"/>
        </w:rPr>
        <w:t xml:space="preserve"> </w:t>
      </w:r>
      <w:r w:rsidR="00C82AF0" w:rsidRPr="006D4243">
        <w:rPr>
          <w:szCs w:val="22"/>
        </w:rPr>
        <w:t>C</w:t>
      </w:r>
      <w:r w:rsidR="00034FAD" w:rsidRPr="006D4243">
        <w:rPr>
          <w:szCs w:val="22"/>
        </w:rPr>
        <w:t>onsiglio regionale e quelli legati alla gestione del personale.</w:t>
      </w:r>
    </w:p>
    <w:p w:rsidR="00034FAD" w:rsidRPr="006D4243" w:rsidRDefault="00034FAD">
      <w:pPr>
        <w:rPr>
          <w:szCs w:val="22"/>
        </w:rPr>
      </w:pPr>
      <w:r w:rsidRPr="006D4243">
        <w:rPr>
          <w:szCs w:val="22"/>
        </w:rPr>
        <w:t xml:space="preserve">Il TFR per lavoro dipendente ammonta </w:t>
      </w:r>
      <w:r w:rsidR="00C82AF0" w:rsidRPr="006D4243">
        <w:rPr>
          <w:szCs w:val="22"/>
        </w:rPr>
        <w:t xml:space="preserve">complessivamente </w:t>
      </w:r>
      <w:r w:rsidRPr="006D4243">
        <w:rPr>
          <w:szCs w:val="22"/>
        </w:rPr>
        <w:t xml:space="preserve">al 31.12.2020 </w:t>
      </w:r>
      <w:r w:rsidR="00C82AF0" w:rsidRPr="006D4243">
        <w:rPr>
          <w:szCs w:val="22"/>
        </w:rPr>
        <w:t xml:space="preserve">ad </w:t>
      </w:r>
      <w:r w:rsidRPr="006D4243">
        <w:rPr>
          <w:szCs w:val="22"/>
        </w:rPr>
        <w:t>euro</w:t>
      </w:r>
      <w:r w:rsidR="00C82AF0" w:rsidRPr="006D4243">
        <w:rPr>
          <w:szCs w:val="22"/>
        </w:rPr>
        <w:t xml:space="preserve"> </w:t>
      </w:r>
      <w:r w:rsidR="00200906">
        <w:rPr>
          <w:rFonts w:cs="Trebuchet MS"/>
          <w:bCs/>
          <w:szCs w:val="22"/>
        </w:rPr>
        <w:t>20.793</w:t>
      </w:r>
      <w:r w:rsidRPr="006D4243">
        <w:rPr>
          <w:szCs w:val="22"/>
        </w:rPr>
        <w:t xml:space="preserve">, di cui euro </w:t>
      </w:r>
      <w:r w:rsidR="00C82AF0" w:rsidRPr="006D4243">
        <w:rPr>
          <w:szCs w:val="22"/>
        </w:rPr>
        <w:t xml:space="preserve">19.624 </w:t>
      </w:r>
      <w:r w:rsidRPr="006D4243">
        <w:rPr>
          <w:szCs w:val="22"/>
        </w:rPr>
        <w:t>regola</w:t>
      </w:r>
      <w:r w:rsidR="002B7EB0" w:rsidRPr="006D4243">
        <w:rPr>
          <w:szCs w:val="22"/>
        </w:rPr>
        <w:t>rme</w:t>
      </w:r>
      <w:r w:rsidRPr="006D4243">
        <w:rPr>
          <w:szCs w:val="22"/>
        </w:rPr>
        <w:t>nte accanton</w:t>
      </w:r>
      <w:r w:rsidR="00200906">
        <w:rPr>
          <w:szCs w:val="22"/>
        </w:rPr>
        <w:t>ati</w:t>
      </w:r>
      <w:r w:rsidRPr="006D4243">
        <w:rPr>
          <w:szCs w:val="22"/>
        </w:rPr>
        <w:t xml:space="preserve"> nella polizza dedicata.</w:t>
      </w:r>
    </w:p>
    <w:p w:rsidR="001F7F12" w:rsidRPr="006D4243" w:rsidRDefault="00034FAD">
      <w:pPr>
        <w:rPr>
          <w:szCs w:val="22"/>
        </w:rPr>
      </w:pPr>
      <w:r w:rsidRPr="006D4243">
        <w:rPr>
          <w:szCs w:val="22"/>
        </w:rPr>
        <w:t xml:space="preserve">Per quanto riguarda il conto economico, dobbiamo rilevare come la situazione pandemica per </w:t>
      </w:r>
      <w:proofErr w:type="spellStart"/>
      <w:r w:rsidRPr="006D4243">
        <w:rPr>
          <w:szCs w:val="22"/>
        </w:rPr>
        <w:t>COVID</w:t>
      </w:r>
      <w:proofErr w:type="spellEnd"/>
      <w:r w:rsidRPr="006D4243">
        <w:rPr>
          <w:szCs w:val="22"/>
        </w:rPr>
        <w:t xml:space="preserve"> 19, che ha interessato la quasi totalità dell’esercizio, ha generato minori entrate </w:t>
      </w:r>
      <w:r w:rsidR="001902C1" w:rsidRPr="006D4243">
        <w:rPr>
          <w:szCs w:val="22"/>
        </w:rPr>
        <w:t>per la</w:t>
      </w:r>
      <w:r w:rsidRPr="006D4243">
        <w:rPr>
          <w:szCs w:val="22"/>
        </w:rPr>
        <w:t xml:space="preserve"> riduzione delle attività e dei servizi </w:t>
      </w:r>
      <w:r w:rsidR="001902C1" w:rsidRPr="006D4243">
        <w:rPr>
          <w:szCs w:val="22"/>
        </w:rPr>
        <w:t xml:space="preserve">rivolti ai soci </w:t>
      </w:r>
      <w:r w:rsidR="00752DEC" w:rsidRPr="006D4243">
        <w:rPr>
          <w:szCs w:val="22"/>
        </w:rPr>
        <w:t>(</w:t>
      </w:r>
      <w:r w:rsidR="00C82AF0" w:rsidRPr="006D4243">
        <w:rPr>
          <w:szCs w:val="22"/>
        </w:rPr>
        <w:t xml:space="preserve">circa </w:t>
      </w:r>
      <w:r w:rsidR="00752DEC" w:rsidRPr="006D4243">
        <w:rPr>
          <w:szCs w:val="22"/>
        </w:rPr>
        <w:t>euro 2</w:t>
      </w:r>
      <w:r w:rsidR="00200906">
        <w:rPr>
          <w:szCs w:val="22"/>
        </w:rPr>
        <w:t>.</w:t>
      </w:r>
      <w:r w:rsidR="00752DEC" w:rsidRPr="006D4243">
        <w:rPr>
          <w:szCs w:val="22"/>
        </w:rPr>
        <w:t xml:space="preserve">000 </w:t>
      </w:r>
      <w:r w:rsidR="00C82AF0" w:rsidRPr="006D4243">
        <w:rPr>
          <w:szCs w:val="22"/>
        </w:rPr>
        <w:t>di minori entrate rispetto</w:t>
      </w:r>
      <w:r w:rsidR="00752DEC" w:rsidRPr="006D4243">
        <w:rPr>
          <w:szCs w:val="22"/>
        </w:rPr>
        <w:t xml:space="preserve"> </w:t>
      </w:r>
      <w:r w:rsidR="00C82AF0" w:rsidRPr="006D4243">
        <w:rPr>
          <w:szCs w:val="22"/>
        </w:rPr>
        <w:t xml:space="preserve">a quanto ricevuto come rimborso nell’anno 2019 </w:t>
      </w:r>
      <w:r w:rsidR="00752DEC" w:rsidRPr="006D4243">
        <w:rPr>
          <w:szCs w:val="22"/>
        </w:rPr>
        <w:t xml:space="preserve">per le attività di socializzazione </w:t>
      </w:r>
      <w:r w:rsidR="00C82AF0" w:rsidRPr="006D4243">
        <w:rPr>
          <w:szCs w:val="22"/>
        </w:rPr>
        <w:t xml:space="preserve">con </w:t>
      </w:r>
      <w:proofErr w:type="spellStart"/>
      <w:r w:rsidR="00C82AF0" w:rsidRPr="006D4243">
        <w:rPr>
          <w:szCs w:val="22"/>
        </w:rPr>
        <w:t>SDSS</w:t>
      </w:r>
      <w:proofErr w:type="spellEnd"/>
      <w:r w:rsidR="00752DEC" w:rsidRPr="006D4243">
        <w:rPr>
          <w:szCs w:val="22"/>
        </w:rPr>
        <w:t xml:space="preserve"> e </w:t>
      </w:r>
      <w:r w:rsidR="00C82AF0" w:rsidRPr="006D4243">
        <w:rPr>
          <w:szCs w:val="22"/>
        </w:rPr>
        <w:t>minore entrata sempre rispetto all’anno precedente di circa euro 3</w:t>
      </w:r>
      <w:r w:rsidR="006D4243">
        <w:rPr>
          <w:szCs w:val="22"/>
        </w:rPr>
        <w:t>.</w:t>
      </w:r>
      <w:r w:rsidR="00C82AF0" w:rsidRPr="006D4243">
        <w:rPr>
          <w:szCs w:val="22"/>
        </w:rPr>
        <w:t xml:space="preserve">000 come </w:t>
      </w:r>
      <w:r w:rsidR="00CD4EE6">
        <w:rPr>
          <w:szCs w:val="22"/>
        </w:rPr>
        <w:t>contributo</w:t>
      </w:r>
      <w:r w:rsidR="00752DEC" w:rsidRPr="006D4243">
        <w:rPr>
          <w:szCs w:val="22"/>
        </w:rPr>
        <w:t xml:space="preserve"> dei soci per il sostegno alla struttura</w:t>
      </w:r>
      <w:r w:rsidR="00C82AF0" w:rsidRPr="006D4243">
        <w:rPr>
          <w:szCs w:val="22"/>
        </w:rPr>
        <w:t>)</w:t>
      </w:r>
      <w:r w:rsidR="00752DEC" w:rsidRPr="006D4243">
        <w:rPr>
          <w:szCs w:val="22"/>
        </w:rPr>
        <w:t xml:space="preserve">, </w:t>
      </w:r>
      <w:r w:rsidR="001902C1" w:rsidRPr="006D4243">
        <w:rPr>
          <w:szCs w:val="22"/>
        </w:rPr>
        <w:t xml:space="preserve">e </w:t>
      </w:r>
      <w:r w:rsidR="00444824" w:rsidRPr="006D4243">
        <w:rPr>
          <w:szCs w:val="22"/>
        </w:rPr>
        <w:t xml:space="preserve">anche </w:t>
      </w:r>
      <w:r w:rsidR="001902C1" w:rsidRPr="006D4243">
        <w:rPr>
          <w:szCs w:val="22"/>
        </w:rPr>
        <w:t xml:space="preserve">relative minori spese </w:t>
      </w:r>
      <w:r w:rsidRPr="006D4243">
        <w:rPr>
          <w:szCs w:val="22"/>
        </w:rPr>
        <w:t>(</w:t>
      </w:r>
      <w:r w:rsidR="001902C1" w:rsidRPr="006D4243">
        <w:rPr>
          <w:szCs w:val="22"/>
        </w:rPr>
        <w:t xml:space="preserve">come la </w:t>
      </w:r>
      <w:r w:rsidRPr="006D4243">
        <w:rPr>
          <w:szCs w:val="22"/>
        </w:rPr>
        <w:t>cassa integrazione della dipendente</w:t>
      </w:r>
      <w:r w:rsidR="00752DEC" w:rsidRPr="006D4243">
        <w:rPr>
          <w:szCs w:val="22"/>
        </w:rPr>
        <w:t xml:space="preserve"> che ha portato ad una riduzione di euro </w:t>
      </w:r>
      <w:r w:rsidR="00444824" w:rsidRPr="006D4243">
        <w:rPr>
          <w:szCs w:val="22"/>
        </w:rPr>
        <w:t>1.600</w:t>
      </w:r>
      <w:r w:rsidR="001902C1" w:rsidRPr="006D4243">
        <w:rPr>
          <w:szCs w:val="22"/>
        </w:rPr>
        <w:t xml:space="preserve">, la </w:t>
      </w:r>
      <w:r w:rsidR="00444824" w:rsidRPr="006D4243">
        <w:rPr>
          <w:szCs w:val="22"/>
        </w:rPr>
        <w:t>contrazione de</w:t>
      </w:r>
      <w:r w:rsidR="001902C1" w:rsidRPr="006D4243">
        <w:rPr>
          <w:szCs w:val="22"/>
        </w:rPr>
        <w:t xml:space="preserve">gli oneri </w:t>
      </w:r>
      <w:r w:rsidR="00752DEC" w:rsidRPr="006D4243">
        <w:rPr>
          <w:szCs w:val="22"/>
        </w:rPr>
        <w:t>di supporto generale</w:t>
      </w:r>
      <w:r w:rsidR="00444824" w:rsidRPr="006D4243">
        <w:rPr>
          <w:szCs w:val="22"/>
        </w:rPr>
        <w:t xml:space="preserve"> di </w:t>
      </w:r>
      <w:r w:rsidR="00752DEC" w:rsidRPr="006D4243">
        <w:rPr>
          <w:szCs w:val="22"/>
        </w:rPr>
        <w:t xml:space="preserve">circa </w:t>
      </w:r>
      <w:r w:rsidR="00444824" w:rsidRPr="006D4243">
        <w:rPr>
          <w:szCs w:val="22"/>
        </w:rPr>
        <w:t xml:space="preserve">euro 2.000 </w:t>
      </w:r>
      <w:r w:rsidR="00752DEC" w:rsidRPr="006D4243">
        <w:rPr>
          <w:szCs w:val="22"/>
        </w:rPr>
        <w:t>in meno dell’annualità precedente</w:t>
      </w:r>
      <w:r w:rsidR="00200906">
        <w:rPr>
          <w:szCs w:val="22"/>
        </w:rPr>
        <w:t>). Sempre a</w:t>
      </w:r>
      <w:r w:rsidR="00444824" w:rsidRPr="006D4243">
        <w:rPr>
          <w:szCs w:val="22"/>
        </w:rPr>
        <w:t xml:space="preserve"> causa della pandemia i</w:t>
      </w:r>
      <w:r w:rsidR="00CF663C" w:rsidRPr="006D4243">
        <w:rPr>
          <w:szCs w:val="22"/>
        </w:rPr>
        <w:t>n</w:t>
      </w:r>
      <w:r w:rsidR="00444824" w:rsidRPr="006D4243">
        <w:rPr>
          <w:szCs w:val="22"/>
        </w:rPr>
        <w:t xml:space="preserve"> corso, abbiamo avuto un </w:t>
      </w:r>
      <w:r w:rsidR="00200906">
        <w:rPr>
          <w:szCs w:val="22"/>
        </w:rPr>
        <w:t>oggettivo impedimento a</w:t>
      </w:r>
      <w:r w:rsidR="001902C1" w:rsidRPr="006D4243">
        <w:rPr>
          <w:szCs w:val="22"/>
        </w:rPr>
        <w:t>lla realizzazione di manifestazioni e attività per raccolta fondi</w:t>
      </w:r>
      <w:r w:rsidR="00444824" w:rsidRPr="006D4243">
        <w:rPr>
          <w:szCs w:val="22"/>
        </w:rPr>
        <w:t xml:space="preserve"> (</w:t>
      </w:r>
      <w:r w:rsidR="00752DEC" w:rsidRPr="006D4243">
        <w:rPr>
          <w:szCs w:val="22"/>
        </w:rPr>
        <w:t>minori spese per euro</w:t>
      </w:r>
      <w:r w:rsidR="00444824" w:rsidRPr="006D4243">
        <w:rPr>
          <w:szCs w:val="22"/>
        </w:rPr>
        <w:t xml:space="preserve"> 3.400</w:t>
      </w:r>
      <w:r w:rsidR="00752DEC" w:rsidRPr="006D4243">
        <w:rPr>
          <w:szCs w:val="22"/>
        </w:rPr>
        <w:t xml:space="preserve"> </w:t>
      </w:r>
      <w:r w:rsidR="00444824" w:rsidRPr="006D4243">
        <w:rPr>
          <w:szCs w:val="22"/>
        </w:rPr>
        <w:t xml:space="preserve">e </w:t>
      </w:r>
      <w:r w:rsidR="00752DEC" w:rsidRPr="006D4243">
        <w:rPr>
          <w:szCs w:val="22"/>
        </w:rPr>
        <w:t>minori entrate per euro</w:t>
      </w:r>
      <w:r w:rsidR="00444824" w:rsidRPr="006D4243">
        <w:rPr>
          <w:szCs w:val="22"/>
        </w:rPr>
        <w:t xml:space="preserve"> 5.000</w:t>
      </w:r>
      <w:r w:rsidR="00752DEC" w:rsidRPr="006D4243">
        <w:rPr>
          <w:szCs w:val="22"/>
        </w:rPr>
        <w:t>)</w:t>
      </w:r>
      <w:r w:rsidR="001902C1" w:rsidRPr="006D4243">
        <w:rPr>
          <w:szCs w:val="22"/>
        </w:rPr>
        <w:t xml:space="preserve">. </w:t>
      </w:r>
      <w:proofErr w:type="gramStart"/>
      <w:r w:rsidR="001902C1" w:rsidRPr="006D4243">
        <w:rPr>
          <w:szCs w:val="22"/>
        </w:rPr>
        <w:t>E’</w:t>
      </w:r>
      <w:proofErr w:type="gramEnd"/>
      <w:r w:rsidR="001902C1" w:rsidRPr="006D4243">
        <w:rPr>
          <w:szCs w:val="22"/>
        </w:rPr>
        <w:t xml:space="preserve"> stato inoltre necessario provvedere alla liquidazione di un elevato contributo a </w:t>
      </w:r>
      <w:proofErr w:type="spellStart"/>
      <w:r w:rsidR="001902C1" w:rsidRPr="006D4243">
        <w:rPr>
          <w:szCs w:val="22"/>
        </w:rPr>
        <w:t>IRIFOR</w:t>
      </w:r>
      <w:proofErr w:type="spellEnd"/>
      <w:r w:rsidR="001902C1" w:rsidRPr="006D4243">
        <w:rPr>
          <w:szCs w:val="22"/>
        </w:rPr>
        <w:t xml:space="preserve"> Siena </w:t>
      </w:r>
      <w:r w:rsidR="00444824" w:rsidRPr="006D4243">
        <w:rPr>
          <w:szCs w:val="22"/>
        </w:rPr>
        <w:t>(</w:t>
      </w:r>
      <w:r w:rsidR="00752DEC" w:rsidRPr="006D4243">
        <w:rPr>
          <w:szCs w:val="22"/>
        </w:rPr>
        <w:t>euro 17.000,00</w:t>
      </w:r>
      <w:r w:rsidR="00444824" w:rsidRPr="006D4243">
        <w:rPr>
          <w:szCs w:val="22"/>
        </w:rPr>
        <w:t>)</w:t>
      </w:r>
      <w:r w:rsidR="002B7EB0" w:rsidRPr="006D4243">
        <w:rPr>
          <w:szCs w:val="22"/>
        </w:rPr>
        <w:t xml:space="preserve"> </w:t>
      </w:r>
      <w:r w:rsidR="001902C1" w:rsidRPr="006D4243">
        <w:rPr>
          <w:szCs w:val="22"/>
        </w:rPr>
        <w:t xml:space="preserve">per il mantenimento delle </w:t>
      </w:r>
      <w:r w:rsidR="00444824" w:rsidRPr="006D4243">
        <w:rPr>
          <w:szCs w:val="22"/>
        </w:rPr>
        <w:t xml:space="preserve">relative </w:t>
      </w:r>
      <w:r w:rsidR="001902C1" w:rsidRPr="006D4243">
        <w:rPr>
          <w:szCs w:val="22"/>
        </w:rPr>
        <w:t xml:space="preserve">attività istituzionali </w:t>
      </w:r>
      <w:r w:rsidR="00444824" w:rsidRPr="006D4243">
        <w:rPr>
          <w:szCs w:val="22"/>
        </w:rPr>
        <w:t>garantendo</w:t>
      </w:r>
      <w:r w:rsidR="001902C1" w:rsidRPr="006D4243">
        <w:rPr>
          <w:szCs w:val="22"/>
        </w:rPr>
        <w:t xml:space="preserve"> la </w:t>
      </w:r>
      <w:r w:rsidR="00444824" w:rsidRPr="006D4243">
        <w:rPr>
          <w:szCs w:val="22"/>
        </w:rPr>
        <w:t xml:space="preserve">necessaria </w:t>
      </w:r>
      <w:r w:rsidR="001902C1" w:rsidRPr="006D4243">
        <w:rPr>
          <w:szCs w:val="22"/>
        </w:rPr>
        <w:t>liquidità</w:t>
      </w:r>
      <w:r w:rsidR="00200906">
        <w:rPr>
          <w:szCs w:val="22"/>
        </w:rPr>
        <w:t xml:space="preserve"> all’Istituto</w:t>
      </w:r>
      <w:r w:rsidR="001902C1" w:rsidRPr="006D4243">
        <w:rPr>
          <w:szCs w:val="22"/>
        </w:rPr>
        <w:t>. Da segnalare come nei ricavi abbiamo potuto contare sull’erogazione di due annualità d</w:t>
      </w:r>
      <w:r w:rsidR="00752DEC" w:rsidRPr="006D4243">
        <w:rPr>
          <w:szCs w:val="22"/>
        </w:rPr>
        <w:t>el contributo del 5 per mille per un totale di euro</w:t>
      </w:r>
      <w:r w:rsidR="00444824" w:rsidRPr="006D4243">
        <w:rPr>
          <w:szCs w:val="22"/>
        </w:rPr>
        <w:t xml:space="preserve"> </w:t>
      </w:r>
      <w:r w:rsidR="00444824" w:rsidRPr="006D4243">
        <w:rPr>
          <w:rFonts w:eastAsia="Times New Roman"/>
          <w:szCs w:val="22"/>
          <w:lang w:eastAsia="it-IT"/>
        </w:rPr>
        <w:t>9.861.</w:t>
      </w:r>
    </w:p>
    <w:p w:rsidR="00246220" w:rsidRPr="006D4243" w:rsidRDefault="00752DEC">
      <w:pPr>
        <w:rPr>
          <w:szCs w:val="22"/>
        </w:rPr>
      </w:pPr>
      <w:r w:rsidRPr="006D4243">
        <w:rPr>
          <w:szCs w:val="22"/>
        </w:rPr>
        <w:t xml:space="preserve">I ricavi concretizzati nell’anno 2020 riguardano </w:t>
      </w:r>
      <w:r w:rsidR="00444824" w:rsidRPr="006D4243">
        <w:rPr>
          <w:szCs w:val="22"/>
        </w:rPr>
        <w:t>il F</w:t>
      </w:r>
      <w:r w:rsidRPr="006D4243">
        <w:rPr>
          <w:szCs w:val="22"/>
        </w:rPr>
        <w:t xml:space="preserve">ondo </w:t>
      </w:r>
      <w:r w:rsidR="00444824" w:rsidRPr="006D4243">
        <w:rPr>
          <w:szCs w:val="22"/>
        </w:rPr>
        <w:t>di solidarietà</w:t>
      </w:r>
      <w:r w:rsidR="002B7EB0" w:rsidRPr="006D4243">
        <w:rPr>
          <w:szCs w:val="22"/>
        </w:rPr>
        <w:t xml:space="preserve"> erogato dalla </w:t>
      </w:r>
      <w:r w:rsidR="00444824" w:rsidRPr="006D4243">
        <w:rPr>
          <w:szCs w:val="22"/>
        </w:rPr>
        <w:t>P</w:t>
      </w:r>
      <w:r w:rsidR="002B7EB0" w:rsidRPr="006D4243">
        <w:rPr>
          <w:szCs w:val="22"/>
        </w:rPr>
        <w:t xml:space="preserve">residenza </w:t>
      </w:r>
      <w:r w:rsidR="00444824" w:rsidRPr="006D4243">
        <w:rPr>
          <w:szCs w:val="22"/>
        </w:rPr>
        <w:t>N</w:t>
      </w:r>
      <w:r w:rsidR="002B7EB0" w:rsidRPr="006D4243">
        <w:rPr>
          <w:szCs w:val="22"/>
        </w:rPr>
        <w:t>azionale</w:t>
      </w:r>
      <w:r w:rsidR="00CF663C" w:rsidRPr="006D4243">
        <w:rPr>
          <w:szCs w:val="22"/>
        </w:rPr>
        <w:t xml:space="preserve"> (euro 10.711)</w:t>
      </w:r>
      <w:r w:rsidRPr="006D4243">
        <w:rPr>
          <w:szCs w:val="22"/>
        </w:rPr>
        <w:t>, che si è ridotto di circa 2</w:t>
      </w:r>
      <w:r w:rsidR="006D4243">
        <w:rPr>
          <w:szCs w:val="22"/>
        </w:rPr>
        <w:t>.</w:t>
      </w:r>
      <w:r w:rsidRPr="006D4243">
        <w:rPr>
          <w:szCs w:val="22"/>
        </w:rPr>
        <w:t>000 euro rispetto all’</w:t>
      </w:r>
      <w:r w:rsidR="002B7EB0" w:rsidRPr="006D4243">
        <w:rPr>
          <w:szCs w:val="22"/>
        </w:rPr>
        <w:t xml:space="preserve">annualità precedente, </w:t>
      </w:r>
      <w:r w:rsidR="00246220" w:rsidRPr="006D4243">
        <w:rPr>
          <w:szCs w:val="22"/>
        </w:rPr>
        <w:t xml:space="preserve">i </w:t>
      </w:r>
      <w:r w:rsidR="002B7EB0" w:rsidRPr="006D4243">
        <w:rPr>
          <w:szCs w:val="22"/>
        </w:rPr>
        <w:t xml:space="preserve">contributi e le </w:t>
      </w:r>
      <w:r w:rsidR="00246220" w:rsidRPr="006D4243">
        <w:rPr>
          <w:szCs w:val="22"/>
        </w:rPr>
        <w:t>erogazioni liberali da privati</w:t>
      </w:r>
      <w:r w:rsidR="00CF663C" w:rsidRPr="006D4243">
        <w:rPr>
          <w:szCs w:val="22"/>
        </w:rPr>
        <w:t xml:space="preserve"> (euro 1.575)</w:t>
      </w:r>
      <w:r w:rsidR="00385016" w:rsidRPr="006D4243">
        <w:rPr>
          <w:szCs w:val="22"/>
        </w:rPr>
        <w:t>, la contribuzione della F</w:t>
      </w:r>
      <w:r w:rsidR="00246220" w:rsidRPr="006D4243">
        <w:rPr>
          <w:szCs w:val="22"/>
        </w:rPr>
        <w:t>ondazi</w:t>
      </w:r>
      <w:r w:rsidR="00444824" w:rsidRPr="006D4243">
        <w:rPr>
          <w:szCs w:val="22"/>
        </w:rPr>
        <w:t xml:space="preserve">one </w:t>
      </w:r>
      <w:proofErr w:type="spellStart"/>
      <w:r w:rsidR="00444824" w:rsidRPr="006D4243">
        <w:rPr>
          <w:szCs w:val="22"/>
        </w:rPr>
        <w:t>L</w:t>
      </w:r>
      <w:r w:rsidR="00246220" w:rsidRPr="006D4243">
        <w:rPr>
          <w:szCs w:val="22"/>
        </w:rPr>
        <w:t>inaldo</w:t>
      </w:r>
      <w:proofErr w:type="spellEnd"/>
      <w:r w:rsidR="00246220" w:rsidRPr="006D4243">
        <w:rPr>
          <w:szCs w:val="22"/>
        </w:rPr>
        <w:t xml:space="preserve"> </w:t>
      </w:r>
      <w:r w:rsidR="00CF663C" w:rsidRPr="006D4243">
        <w:rPr>
          <w:szCs w:val="22"/>
        </w:rPr>
        <w:t xml:space="preserve">(euro 10.000) </w:t>
      </w:r>
      <w:r w:rsidR="00200906">
        <w:rPr>
          <w:szCs w:val="22"/>
        </w:rPr>
        <w:t>e quella della R</w:t>
      </w:r>
      <w:r w:rsidR="00246220" w:rsidRPr="006D4243">
        <w:rPr>
          <w:szCs w:val="22"/>
        </w:rPr>
        <w:t>egi</w:t>
      </w:r>
      <w:r w:rsidR="00200906">
        <w:rPr>
          <w:szCs w:val="22"/>
        </w:rPr>
        <w:t>one T</w:t>
      </w:r>
      <w:r w:rsidR="00444824" w:rsidRPr="006D4243">
        <w:rPr>
          <w:szCs w:val="22"/>
        </w:rPr>
        <w:t>oscana per il bando straordinario 2020</w:t>
      </w:r>
      <w:r w:rsidR="00CF663C" w:rsidRPr="006D4243">
        <w:rPr>
          <w:szCs w:val="22"/>
        </w:rPr>
        <w:t xml:space="preserve"> (euro 3.740)</w:t>
      </w:r>
      <w:r w:rsidR="00246220" w:rsidRPr="006D4243">
        <w:rPr>
          <w:szCs w:val="22"/>
        </w:rPr>
        <w:t>, oltre al fitto del lo</w:t>
      </w:r>
      <w:r w:rsidR="000C37DA" w:rsidRPr="006D4243">
        <w:rPr>
          <w:szCs w:val="22"/>
        </w:rPr>
        <w:t>c</w:t>
      </w:r>
      <w:r w:rsidR="00246220" w:rsidRPr="006D4243">
        <w:rPr>
          <w:szCs w:val="22"/>
        </w:rPr>
        <w:t>ale di</w:t>
      </w:r>
      <w:r w:rsidR="000C37DA" w:rsidRPr="006D4243">
        <w:rPr>
          <w:szCs w:val="22"/>
        </w:rPr>
        <w:t xml:space="preserve"> San Ma</w:t>
      </w:r>
      <w:r w:rsidR="00444824" w:rsidRPr="006D4243">
        <w:rPr>
          <w:szCs w:val="22"/>
        </w:rPr>
        <w:t>rtino</w:t>
      </w:r>
      <w:r w:rsidR="00CF663C" w:rsidRPr="006D4243">
        <w:rPr>
          <w:szCs w:val="22"/>
        </w:rPr>
        <w:t xml:space="preserve"> (euro 3</w:t>
      </w:r>
      <w:r w:rsidR="006D4243">
        <w:rPr>
          <w:szCs w:val="22"/>
        </w:rPr>
        <w:t>.</w:t>
      </w:r>
      <w:r w:rsidR="00CF663C" w:rsidRPr="006D4243">
        <w:rPr>
          <w:szCs w:val="22"/>
        </w:rPr>
        <w:t>300).</w:t>
      </w:r>
    </w:p>
    <w:p w:rsidR="00A77AF0" w:rsidRPr="006D4243" w:rsidRDefault="00246220" w:rsidP="00A77AF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 w:cs="Times New Roman"/>
          <w:sz w:val="22"/>
          <w:szCs w:val="22"/>
        </w:rPr>
      </w:pPr>
      <w:r w:rsidRPr="006D4243">
        <w:rPr>
          <w:rFonts w:ascii="Verdana" w:hAnsi="Verdana"/>
          <w:sz w:val="22"/>
          <w:szCs w:val="22"/>
        </w:rPr>
        <w:t>Si rimanda alla lettura dei dati riassuntivi sottostanti relativi allo stato patrimoniale ed economico</w:t>
      </w:r>
      <w:r w:rsidR="00A77AF0" w:rsidRPr="006D4243">
        <w:rPr>
          <w:rFonts w:ascii="Verdana" w:hAnsi="Verdana"/>
          <w:sz w:val="22"/>
          <w:szCs w:val="22"/>
        </w:rPr>
        <w:t>.</w:t>
      </w:r>
      <w:r w:rsidR="00A77AF0" w:rsidRPr="006D4243">
        <w:rPr>
          <w:rFonts w:ascii="Verdana" w:eastAsia="Carlito" w:hAnsi="Verdana" w:cs="Calibri"/>
          <w:sz w:val="22"/>
          <w:szCs w:val="22"/>
        </w:rPr>
        <w:t xml:space="preserve"> </w:t>
      </w:r>
    </w:p>
    <w:p w:rsidR="001902C1" w:rsidRPr="006D4243" w:rsidRDefault="001902C1">
      <w:pPr>
        <w:rPr>
          <w:szCs w:val="22"/>
        </w:rPr>
      </w:pPr>
    </w:p>
    <w:p w:rsidR="001F7F12" w:rsidRPr="006D4243" w:rsidRDefault="001F7F12">
      <w:pPr>
        <w:rPr>
          <w:szCs w:val="22"/>
        </w:rPr>
      </w:pPr>
    </w:p>
    <w:p w:rsidR="00CF663C" w:rsidRPr="006D4243" w:rsidRDefault="00CF663C">
      <w:pPr>
        <w:rPr>
          <w:szCs w:val="22"/>
        </w:rPr>
      </w:pPr>
    </w:p>
    <w:p w:rsidR="00385016" w:rsidRDefault="00385016">
      <w:pPr>
        <w:rPr>
          <w:szCs w:val="22"/>
        </w:rPr>
      </w:pPr>
    </w:p>
    <w:p w:rsidR="00200906" w:rsidRPr="006D4243" w:rsidRDefault="00200906">
      <w:pPr>
        <w:rPr>
          <w:szCs w:val="22"/>
        </w:rPr>
      </w:pPr>
    </w:p>
    <w:p w:rsidR="00CF4A8E" w:rsidRPr="006D4243" w:rsidRDefault="00CF4A8E">
      <w:pPr>
        <w:rPr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01"/>
      </w:tblGrid>
      <w:tr w:rsidR="00385016" w:rsidRPr="006D4243" w:rsidTr="00385016">
        <w:trPr>
          <w:trHeight w:val="480"/>
          <w:jc w:val="center"/>
        </w:trPr>
        <w:tc>
          <w:tcPr>
            <w:tcW w:w="6232" w:type="dxa"/>
            <w:gridSpan w:val="2"/>
            <w:hideMark/>
          </w:tcPr>
          <w:p w:rsidR="00385016" w:rsidRPr="006D4243" w:rsidRDefault="00385016" w:rsidP="00385016">
            <w:pPr>
              <w:jc w:val="center"/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lastRenderedPageBreak/>
              <w:t>STATO PATRIMONIALE ATTIVO</w:t>
            </w:r>
          </w:p>
        </w:tc>
      </w:tr>
      <w:tr w:rsidR="00385016" w:rsidRPr="006D4243" w:rsidTr="00BC56FF">
        <w:trPr>
          <w:trHeight w:val="39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szCs w:val="22"/>
              </w:rPr>
            </w:pPr>
            <w:r w:rsidRPr="006D4243">
              <w:rPr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385016" w:rsidRPr="006D4243" w:rsidRDefault="00385016" w:rsidP="00385016">
            <w:pPr>
              <w:jc w:val="center"/>
              <w:rPr>
                <w:szCs w:val="22"/>
              </w:rPr>
            </w:pPr>
            <w:r w:rsidRPr="006D4243">
              <w:rPr>
                <w:b/>
                <w:bCs/>
                <w:szCs w:val="22"/>
              </w:rPr>
              <w:t>€</w:t>
            </w:r>
          </w:p>
        </w:tc>
      </w:tr>
      <w:tr w:rsidR="00385016" w:rsidRPr="006D4243" w:rsidTr="00BC56FF">
        <w:trPr>
          <w:trHeight w:val="39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B) Immobilizzazioni</w:t>
            </w:r>
          </w:p>
        </w:tc>
        <w:tc>
          <w:tcPr>
            <w:tcW w:w="1701" w:type="dxa"/>
            <w:hideMark/>
          </w:tcPr>
          <w:p w:rsidR="00385016" w:rsidRPr="006D4243" w:rsidRDefault="00385016" w:rsidP="00385016">
            <w:pPr>
              <w:rPr>
                <w:b/>
                <w:szCs w:val="22"/>
              </w:rPr>
            </w:pPr>
            <w:r w:rsidRPr="006D4243">
              <w:rPr>
                <w:b/>
                <w:szCs w:val="22"/>
              </w:rPr>
              <w:t>22.481</w:t>
            </w:r>
          </w:p>
        </w:tc>
      </w:tr>
      <w:tr w:rsidR="00385016" w:rsidRPr="006D4243" w:rsidTr="00BC56FF">
        <w:trPr>
          <w:trHeight w:val="39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C) Attivo circolante</w:t>
            </w:r>
          </w:p>
        </w:tc>
        <w:tc>
          <w:tcPr>
            <w:tcW w:w="1701" w:type="dxa"/>
            <w:hideMark/>
          </w:tcPr>
          <w:p w:rsidR="00385016" w:rsidRPr="006D4243" w:rsidRDefault="00385016" w:rsidP="00385016">
            <w:pPr>
              <w:rPr>
                <w:b/>
                <w:szCs w:val="22"/>
              </w:rPr>
            </w:pPr>
            <w:r w:rsidRPr="006D4243">
              <w:rPr>
                <w:b/>
                <w:szCs w:val="22"/>
              </w:rPr>
              <w:t>114.649</w:t>
            </w:r>
          </w:p>
        </w:tc>
      </w:tr>
      <w:tr w:rsidR="00385016" w:rsidRPr="006D4243" w:rsidTr="00BC56FF">
        <w:trPr>
          <w:trHeight w:val="33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szCs w:val="22"/>
              </w:rPr>
            </w:pPr>
            <w:r w:rsidRPr="006D4243">
              <w:rPr>
                <w:szCs w:val="22"/>
              </w:rPr>
              <w:t>II - Crediti</w:t>
            </w:r>
          </w:p>
        </w:tc>
        <w:tc>
          <w:tcPr>
            <w:tcW w:w="1701" w:type="dxa"/>
            <w:hideMark/>
          </w:tcPr>
          <w:p w:rsidR="00385016" w:rsidRPr="006D4243" w:rsidRDefault="00385016" w:rsidP="00385016">
            <w:pPr>
              <w:rPr>
                <w:szCs w:val="22"/>
              </w:rPr>
            </w:pPr>
            <w:r w:rsidRPr="006D4243">
              <w:rPr>
                <w:szCs w:val="22"/>
              </w:rPr>
              <w:t>38.799</w:t>
            </w:r>
          </w:p>
        </w:tc>
      </w:tr>
      <w:tr w:rsidR="00385016" w:rsidRPr="006D4243" w:rsidTr="00BC56FF">
        <w:trPr>
          <w:trHeight w:val="33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szCs w:val="22"/>
              </w:rPr>
            </w:pPr>
            <w:r w:rsidRPr="006D4243">
              <w:rPr>
                <w:szCs w:val="22"/>
              </w:rPr>
              <w:t>IV - Disponibilità liquide</w:t>
            </w:r>
          </w:p>
        </w:tc>
        <w:tc>
          <w:tcPr>
            <w:tcW w:w="1701" w:type="dxa"/>
            <w:noWrap/>
            <w:hideMark/>
          </w:tcPr>
          <w:p w:rsidR="00385016" w:rsidRPr="006D4243" w:rsidRDefault="00385016" w:rsidP="00385016">
            <w:pPr>
              <w:rPr>
                <w:szCs w:val="22"/>
              </w:rPr>
            </w:pPr>
            <w:r w:rsidRPr="006D4243">
              <w:rPr>
                <w:szCs w:val="22"/>
              </w:rPr>
              <w:t>75.850</w:t>
            </w:r>
          </w:p>
        </w:tc>
      </w:tr>
      <w:tr w:rsidR="00385016" w:rsidRPr="006D4243" w:rsidTr="00BC56FF">
        <w:trPr>
          <w:trHeight w:val="39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D) Ratei e risconti</w:t>
            </w:r>
          </w:p>
        </w:tc>
        <w:tc>
          <w:tcPr>
            <w:tcW w:w="1701" w:type="dxa"/>
            <w:noWrap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1.048</w:t>
            </w:r>
          </w:p>
        </w:tc>
      </w:tr>
      <w:tr w:rsidR="00385016" w:rsidRPr="006D4243" w:rsidTr="00BC56FF">
        <w:trPr>
          <w:trHeight w:val="48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Totale attivo</w:t>
            </w:r>
          </w:p>
        </w:tc>
        <w:tc>
          <w:tcPr>
            <w:tcW w:w="1701" w:type="dxa"/>
            <w:noWrap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138.178</w:t>
            </w:r>
          </w:p>
        </w:tc>
      </w:tr>
      <w:tr w:rsidR="00385016" w:rsidRPr="006D4243" w:rsidTr="00385016">
        <w:trPr>
          <w:trHeight w:val="480"/>
          <w:jc w:val="center"/>
        </w:trPr>
        <w:tc>
          <w:tcPr>
            <w:tcW w:w="6232" w:type="dxa"/>
            <w:gridSpan w:val="2"/>
            <w:hideMark/>
          </w:tcPr>
          <w:p w:rsidR="00385016" w:rsidRPr="006D4243" w:rsidRDefault="00385016" w:rsidP="00385016">
            <w:pPr>
              <w:jc w:val="center"/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STATO PATRIMONIALE PASSIVO</w:t>
            </w:r>
          </w:p>
        </w:tc>
      </w:tr>
      <w:tr w:rsidR="00385016" w:rsidRPr="006D4243" w:rsidTr="00BC56FF">
        <w:trPr>
          <w:trHeight w:val="39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A) Patrimonio netto</w:t>
            </w:r>
          </w:p>
        </w:tc>
        <w:tc>
          <w:tcPr>
            <w:tcW w:w="1701" w:type="dxa"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szCs w:val="22"/>
              </w:rPr>
              <w:t>95.196</w:t>
            </w:r>
          </w:p>
        </w:tc>
      </w:tr>
      <w:tr w:rsidR="00385016" w:rsidRPr="006D4243" w:rsidTr="00BC56FF">
        <w:trPr>
          <w:trHeight w:val="33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szCs w:val="22"/>
              </w:rPr>
            </w:pPr>
            <w:r w:rsidRPr="006D4243">
              <w:rPr>
                <w:szCs w:val="22"/>
              </w:rPr>
              <w:t>I - Capitale</w:t>
            </w:r>
          </w:p>
        </w:tc>
        <w:tc>
          <w:tcPr>
            <w:tcW w:w="1701" w:type="dxa"/>
            <w:noWrap/>
            <w:hideMark/>
          </w:tcPr>
          <w:p w:rsidR="00385016" w:rsidRPr="006D4243" w:rsidRDefault="00385016" w:rsidP="00385016">
            <w:pPr>
              <w:rPr>
                <w:szCs w:val="22"/>
              </w:rPr>
            </w:pPr>
            <w:r w:rsidRPr="006D4243">
              <w:rPr>
                <w:szCs w:val="22"/>
              </w:rPr>
              <w:t>93.834</w:t>
            </w:r>
          </w:p>
        </w:tc>
      </w:tr>
      <w:tr w:rsidR="00385016" w:rsidRPr="006D4243" w:rsidTr="00BC56FF">
        <w:trPr>
          <w:trHeight w:val="33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szCs w:val="22"/>
              </w:rPr>
            </w:pPr>
            <w:r w:rsidRPr="006D4243">
              <w:rPr>
                <w:szCs w:val="22"/>
              </w:rPr>
              <w:t>IX - Utile dell'esercizio</w:t>
            </w:r>
          </w:p>
        </w:tc>
        <w:tc>
          <w:tcPr>
            <w:tcW w:w="1701" w:type="dxa"/>
            <w:noWrap/>
            <w:hideMark/>
          </w:tcPr>
          <w:p w:rsidR="00385016" w:rsidRPr="006D4243" w:rsidRDefault="00385016" w:rsidP="00385016">
            <w:pPr>
              <w:rPr>
                <w:szCs w:val="22"/>
              </w:rPr>
            </w:pPr>
            <w:r w:rsidRPr="006D4243">
              <w:rPr>
                <w:szCs w:val="22"/>
              </w:rPr>
              <w:t>1.362</w:t>
            </w:r>
          </w:p>
        </w:tc>
      </w:tr>
      <w:tr w:rsidR="00385016" w:rsidRPr="006D4243" w:rsidTr="00BC56FF">
        <w:trPr>
          <w:trHeight w:val="39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C) Trattamento di fine rapporto di lavoro subordinato</w:t>
            </w:r>
          </w:p>
        </w:tc>
        <w:tc>
          <w:tcPr>
            <w:tcW w:w="1701" w:type="dxa"/>
            <w:noWrap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20.793</w:t>
            </w:r>
          </w:p>
        </w:tc>
      </w:tr>
      <w:tr w:rsidR="00385016" w:rsidRPr="006D4243" w:rsidTr="00BC56FF">
        <w:trPr>
          <w:trHeight w:val="39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D) Debiti</w:t>
            </w:r>
          </w:p>
        </w:tc>
        <w:tc>
          <w:tcPr>
            <w:tcW w:w="1701" w:type="dxa"/>
            <w:hideMark/>
          </w:tcPr>
          <w:p w:rsidR="00385016" w:rsidRPr="006D4243" w:rsidRDefault="00A441CA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szCs w:val="22"/>
              </w:rPr>
              <w:t>20.764</w:t>
            </w:r>
          </w:p>
        </w:tc>
      </w:tr>
      <w:tr w:rsidR="00385016" w:rsidRPr="006D4243" w:rsidTr="00BC56FF">
        <w:trPr>
          <w:trHeight w:val="39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E) Ratei e risconti</w:t>
            </w:r>
          </w:p>
        </w:tc>
        <w:tc>
          <w:tcPr>
            <w:tcW w:w="1701" w:type="dxa"/>
            <w:noWrap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1.425</w:t>
            </w:r>
          </w:p>
        </w:tc>
      </w:tr>
      <w:tr w:rsidR="00385016" w:rsidRPr="006D4243" w:rsidTr="00BC56FF">
        <w:trPr>
          <w:trHeight w:val="480"/>
          <w:jc w:val="center"/>
        </w:trPr>
        <w:tc>
          <w:tcPr>
            <w:tcW w:w="4531" w:type="dxa"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Totale passivo</w:t>
            </w:r>
          </w:p>
        </w:tc>
        <w:tc>
          <w:tcPr>
            <w:tcW w:w="1701" w:type="dxa"/>
            <w:noWrap/>
            <w:hideMark/>
          </w:tcPr>
          <w:p w:rsidR="00385016" w:rsidRPr="006D4243" w:rsidRDefault="00385016" w:rsidP="00385016">
            <w:pPr>
              <w:rPr>
                <w:b/>
                <w:bCs/>
                <w:szCs w:val="22"/>
              </w:rPr>
            </w:pPr>
            <w:r w:rsidRPr="006D4243">
              <w:rPr>
                <w:b/>
                <w:bCs/>
                <w:szCs w:val="22"/>
              </w:rPr>
              <w:t>138.178</w:t>
            </w:r>
          </w:p>
        </w:tc>
      </w:tr>
    </w:tbl>
    <w:p w:rsidR="001F7F12" w:rsidRPr="00CD4EE6" w:rsidRDefault="001F7F12">
      <w:pPr>
        <w:rPr>
          <w:b/>
          <w:szCs w:val="22"/>
        </w:rPr>
      </w:pPr>
    </w:p>
    <w:p w:rsidR="00CF4A8E" w:rsidRPr="00CD4EE6" w:rsidRDefault="00CD4EE6">
      <w:pPr>
        <w:rPr>
          <w:b/>
          <w:szCs w:val="22"/>
        </w:rPr>
      </w:pPr>
      <w:r w:rsidRPr="00CD4EE6">
        <w:rPr>
          <w:b/>
          <w:szCs w:val="22"/>
        </w:rPr>
        <w:t xml:space="preserve">                      CONTO ECONOMICO</w: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1705"/>
      </w:tblGrid>
      <w:tr w:rsidR="00A441CA" w:rsidRPr="006D4243" w:rsidTr="008178A6">
        <w:trPr>
          <w:trHeight w:val="330"/>
          <w:jc w:val="center"/>
        </w:trPr>
        <w:tc>
          <w:tcPr>
            <w:tcW w:w="6232" w:type="dxa"/>
            <w:gridSpan w:val="2"/>
            <w:shd w:val="clear" w:color="auto" w:fill="auto"/>
            <w:noWrap/>
            <w:hideMark/>
          </w:tcPr>
          <w:p w:rsidR="00A441CA" w:rsidRPr="006D4243" w:rsidRDefault="00A441CA" w:rsidP="00CF4A8E">
            <w:pPr>
              <w:spacing w:after="0" w:line="240" w:lineRule="auto"/>
              <w:rPr>
                <w:rFonts w:eastAsia="Times New Roman"/>
                <w:szCs w:val="22"/>
                <w:lang w:eastAsia="it-IT"/>
              </w:rPr>
            </w:pPr>
            <w:r w:rsidRPr="006D4243">
              <w:rPr>
                <w:rFonts w:eastAsia="Times New Roman"/>
                <w:b/>
                <w:szCs w:val="22"/>
                <w:lang w:eastAsia="it-IT"/>
              </w:rPr>
              <w:t>Oneri e costi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/>
                <w:szCs w:val="22"/>
                <w:lang w:eastAsia="it-IT"/>
              </w:rPr>
            </w:pP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441CA" w:rsidP="00A441CA">
            <w:pPr>
              <w:spacing w:after="0" w:line="240" w:lineRule="auto"/>
              <w:jc w:val="center"/>
              <w:rPr>
                <w:rFonts w:eastAsia="Times New Roman"/>
                <w:b/>
                <w:szCs w:val="22"/>
                <w:lang w:eastAsia="it-IT"/>
              </w:rPr>
            </w:pPr>
            <w:r w:rsidRPr="006D4243">
              <w:rPr>
                <w:rFonts w:eastAsia="Times New Roman"/>
                <w:b/>
                <w:szCs w:val="22"/>
                <w:lang w:eastAsia="it-IT"/>
              </w:rPr>
              <w:t>€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Oneri per le risorse umane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38.763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Oneri per le attività istituzionali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22.2</w:t>
            </w:r>
            <w:r w:rsidR="002C78A0" w:rsidRPr="006D4243">
              <w:rPr>
                <w:rFonts w:eastAsia="Times New Roman"/>
                <w:bCs/>
                <w:szCs w:val="22"/>
                <w:lang w:eastAsia="it-IT"/>
              </w:rPr>
              <w:t>78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Oneri per attività accessorie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489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Oneri finanziari. tributari e patrimoniali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694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Oneri di supporto generale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A77AF0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7.738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Oneri per attività di raccolta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134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Costi per godimento beni di terzi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1.426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Costi per manutenzioni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187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Costi per lavoro non dipendente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1.500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proofErr w:type="spellStart"/>
            <w:r w:rsidRPr="006D4243">
              <w:rPr>
                <w:rFonts w:eastAsia="Times New Roman"/>
                <w:bCs/>
                <w:szCs w:val="22"/>
                <w:lang w:eastAsia="it-IT"/>
              </w:rPr>
              <w:t>Amm</w:t>
            </w:r>
            <w:proofErr w:type="spellEnd"/>
            <w:r w:rsidRPr="006D4243">
              <w:rPr>
                <w:rFonts w:eastAsia="Times New Roman"/>
                <w:bCs/>
                <w:szCs w:val="22"/>
                <w:lang w:eastAsia="it-IT"/>
              </w:rPr>
              <w:t>. Immobilizzazioni Materiali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936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proofErr w:type="spellStart"/>
            <w:r w:rsidRPr="006D4243">
              <w:rPr>
                <w:rFonts w:eastAsia="Times New Roman"/>
                <w:bCs/>
                <w:szCs w:val="22"/>
                <w:lang w:eastAsia="it-IT"/>
              </w:rPr>
              <w:t>Amm</w:t>
            </w:r>
            <w:proofErr w:type="spellEnd"/>
            <w:r w:rsidRPr="006D4243">
              <w:rPr>
                <w:rFonts w:eastAsia="Times New Roman"/>
                <w:bCs/>
                <w:szCs w:val="22"/>
                <w:lang w:eastAsia="it-IT"/>
              </w:rPr>
              <w:t xml:space="preserve"> immobilizzazioni immateriali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49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Costi diversi di gestione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3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Costi per imposte indirette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82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Imposte Reddito D'Esercizio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792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/>
                <w:bCs/>
                <w:szCs w:val="22"/>
                <w:lang w:eastAsia="it-IT"/>
              </w:rPr>
              <w:t>TOT ONERI E COSTI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/>
                <w:bCs/>
                <w:szCs w:val="22"/>
                <w:lang w:eastAsia="it-IT"/>
              </w:rPr>
              <w:t>75.071</w:t>
            </w:r>
          </w:p>
        </w:tc>
      </w:tr>
    </w:tbl>
    <w:p w:rsidR="00A441CA" w:rsidRPr="006D4243" w:rsidRDefault="00A441CA">
      <w:pPr>
        <w:rPr>
          <w:szCs w:val="22"/>
        </w:rPr>
      </w:pPr>
    </w:p>
    <w:p w:rsidR="00A441CA" w:rsidRPr="006D4243" w:rsidRDefault="00A441CA">
      <w:pPr>
        <w:rPr>
          <w:szCs w:val="22"/>
        </w:rPr>
      </w:pPr>
    </w:p>
    <w:p w:rsidR="00A441CA" w:rsidRDefault="00A441CA">
      <w:pPr>
        <w:rPr>
          <w:szCs w:val="22"/>
        </w:rPr>
      </w:pPr>
    </w:p>
    <w:p w:rsidR="004118E3" w:rsidRPr="006D4243" w:rsidRDefault="004118E3">
      <w:pPr>
        <w:rPr>
          <w:szCs w:val="22"/>
        </w:rPr>
      </w:pPr>
    </w:p>
    <w:p w:rsidR="00A441CA" w:rsidRPr="006D4243" w:rsidRDefault="00A441CA">
      <w:pPr>
        <w:rPr>
          <w:szCs w:val="22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1705"/>
      </w:tblGrid>
      <w:tr w:rsidR="00A441CA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</w:tcPr>
          <w:p w:rsidR="00A441CA" w:rsidRPr="006D4243" w:rsidRDefault="00A441CA" w:rsidP="00CF4A8E">
            <w:pPr>
              <w:spacing w:after="0" w:line="240" w:lineRule="auto"/>
              <w:rPr>
                <w:rFonts w:eastAsia="Times New Roman"/>
                <w:b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/>
                <w:bCs/>
                <w:szCs w:val="22"/>
                <w:lang w:eastAsia="it-IT"/>
              </w:rPr>
              <w:lastRenderedPageBreak/>
              <w:t>Proventi e ricavi</w:t>
            </w:r>
          </w:p>
        </w:tc>
        <w:tc>
          <w:tcPr>
            <w:tcW w:w="1705" w:type="dxa"/>
            <w:shd w:val="clear" w:color="auto" w:fill="auto"/>
            <w:noWrap/>
          </w:tcPr>
          <w:p w:rsidR="00A441CA" w:rsidRPr="006D4243" w:rsidRDefault="00A441CA" w:rsidP="00CF4A8E">
            <w:pPr>
              <w:spacing w:after="0" w:line="240" w:lineRule="auto"/>
              <w:rPr>
                <w:rFonts w:eastAsia="Times New Roman"/>
                <w:b/>
                <w:bCs/>
                <w:szCs w:val="22"/>
                <w:lang w:eastAsia="it-IT"/>
              </w:rPr>
            </w:pPr>
          </w:p>
        </w:tc>
      </w:tr>
      <w:tr w:rsidR="00A441CA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</w:tcPr>
          <w:p w:rsidR="00A441CA" w:rsidRPr="006D4243" w:rsidRDefault="00A441CA" w:rsidP="00CF4A8E">
            <w:pPr>
              <w:spacing w:after="0" w:line="240" w:lineRule="auto"/>
              <w:rPr>
                <w:rFonts w:eastAsia="Times New Roman"/>
                <w:b/>
                <w:bCs/>
                <w:szCs w:val="22"/>
                <w:lang w:eastAsia="it-IT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A441CA" w:rsidRPr="006D4243" w:rsidRDefault="00A441CA" w:rsidP="00CF4A8E">
            <w:pPr>
              <w:spacing w:after="0" w:line="240" w:lineRule="auto"/>
              <w:rPr>
                <w:rFonts w:eastAsia="Times New Roman"/>
                <w:b/>
                <w:bCs/>
                <w:szCs w:val="22"/>
                <w:lang w:eastAsia="it-IT"/>
              </w:rPr>
            </w:pP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Proventi per contributi da enti pubblici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14.134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Proventi per contributi da privati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25.055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Contributi per progetti vari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28.696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Quote Associative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3.794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Recupero spese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367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A441CA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P</w:t>
            </w:r>
            <w:r w:rsidR="002C78A0" w:rsidRPr="006D4243">
              <w:rPr>
                <w:rFonts w:eastAsia="Times New Roman"/>
                <w:bCs/>
                <w:szCs w:val="22"/>
                <w:lang w:eastAsia="it-IT"/>
              </w:rPr>
              <w:t>roventi gestione patrimoniale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3.300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Proventi Straordinari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1.082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Ricavi per abbuoni e arrotondamenti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A77AF0" w:rsidP="00CF4A8E">
            <w:pPr>
              <w:spacing w:after="0" w:line="240" w:lineRule="auto"/>
              <w:rPr>
                <w:rFonts w:eastAsia="Times New Roman"/>
                <w:bCs/>
                <w:szCs w:val="22"/>
                <w:lang w:eastAsia="it-IT"/>
              </w:rPr>
            </w:pPr>
            <w:r w:rsidRPr="006D4243">
              <w:rPr>
                <w:rFonts w:eastAsia="Times New Roman"/>
                <w:bCs/>
                <w:szCs w:val="22"/>
                <w:lang w:eastAsia="it-IT"/>
              </w:rPr>
              <w:t>5</w:t>
            </w:r>
          </w:p>
        </w:tc>
      </w:tr>
      <w:tr w:rsidR="002C78A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  <w:hideMark/>
          </w:tcPr>
          <w:p w:rsidR="002C78A0" w:rsidRPr="006D4243" w:rsidRDefault="002C78A0" w:rsidP="004118E3">
            <w:pPr>
              <w:spacing w:after="0" w:line="240" w:lineRule="auto"/>
              <w:rPr>
                <w:rFonts w:eastAsia="Times New Roman"/>
                <w:b/>
                <w:szCs w:val="22"/>
                <w:lang w:eastAsia="it-IT"/>
              </w:rPr>
            </w:pPr>
            <w:r w:rsidRPr="006D4243">
              <w:rPr>
                <w:rFonts w:eastAsia="Times New Roman"/>
                <w:b/>
                <w:szCs w:val="22"/>
                <w:lang w:eastAsia="it-IT"/>
              </w:rPr>
              <w:t xml:space="preserve">TOT </w:t>
            </w:r>
            <w:r w:rsidR="004118E3">
              <w:rPr>
                <w:rFonts w:eastAsia="Times New Roman"/>
                <w:b/>
                <w:szCs w:val="22"/>
                <w:lang w:eastAsia="it-IT"/>
              </w:rPr>
              <w:t>PROVENTI E RICAVI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2C78A0" w:rsidRPr="006D4243" w:rsidRDefault="002C78A0" w:rsidP="00A77AF0">
            <w:pPr>
              <w:spacing w:after="0" w:line="240" w:lineRule="auto"/>
              <w:rPr>
                <w:rFonts w:eastAsia="Times New Roman"/>
                <w:b/>
                <w:szCs w:val="22"/>
                <w:lang w:eastAsia="it-IT"/>
              </w:rPr>
            </w:pPr>
            <w:r w:rsidRPr="006D4243">
              <w:rPr>
                <w:rFonts w:eastAsia="Times New Roman"/>
                <w:b/>
                <w:szCs w:val="22"/>
                <w:lang w:eastAsia="it-IT"/>
              </w:rPr>
              <w:t>76.</w:t>
            </w:r>
            <w:r w:rsidR="00A77AF0" w:rsidRPr="006D4243">
              <w:rPr>
                <w:rFonts w:eastAsia="Times New Roman"/>
                <w:b/>
                <w:szCs w:val="22"/>
                <w:lang w:eastAsia="it-IT"/>
              </w:rPr>
              <w:t>433</w:t>
            </w:r>
          </w:p>
        </w:tc>
      </w:tr>
      <w:tr w:rsidR="00A77AF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</w:tcPr>
          <w:p w:rsidR="00A77AF0" w:rsidRPr="006D4243" w:rsidRDefault="00A77AF0" w:rsidP="00CF4A8E">
            <w:pPr>
              <w:spacing w:after="0" w:line="240" w:lineRule="auto"/>
              <w:rPr>
                <w:rFonts w:eastAsia="Times New Roman"/>
                <w:b/>
                <w:szCs w:val="22"/>
                <w:lang w:eastAsia="it-IT"/>
              </w:rPr>
            </w:pPr>
          </w:p>
        </w:tc>
        <w:tc>
          <w:tcPr>
            <w:tcW w:w="1705" w:type="dxa"/>
            <w:shd w:val="clear" w:color="auto" w:fill="auto"/>
            <w:noWrap/>
          </w:tcPr>
          <w:p w:rsidR="00A77AF0" w:rsidRPr="006D4243" w:rsidRDefault="00A77AF0" w:rsidP="00A77AF0">
            <w:pPr>
              <w:spacing w:after="0" w:line="240" w:lineRule="auto"/>
              <w:rPr>
                <w:rFonts w:eastAsia="Times New Roman"/>
                <w:b/>
                <w:szCs w:val="22"/>
                <w:lang w:eastAsia="it-IT"/>
              </w:rPr>
            </w:pPr>
          </w:p>
        </w:tc>
      </w:tr>
      <w:tr w:rsidR="00A77AF0" w:rsidRPr="006D4243" w:rsidTr="002C78A0">
        <w:trPr>
          <w:trHeight w:val="330"/>
          <w:jc w:val="center"/>
        </w:trPr>
        <w:tc>
          <w:tcPr>
            <w:tcW w:w="4527" w:type="dxa"/>
            <w:shd w:val="clear" w:color="auto" w:fill="auto"/>
            <w:noWrap/>
          </w:tcPr>
          <w:p w:rsidR="00A77AF0" w:rsidRPr="006D4243" w:rsidRDefault="00A77AF0" w:rsidP="00CF4A8E">
            <w:pPr>
              <w:spacing w:after="0" w:line="240" w:lineRule="auto"/>
              <w:rPr>
                <w:rFonts w:eastAsia="Times New Roman"/>
                <w:b/>
                <w:szCs w:val="22"/>
                <w:lang w:eastAsia="it-IT"/>
              </w:rPr>
            </w:pPr>
            <w:r w:rsidRPr="006D4243">
              <w:rPr>
                <w:rFonts w:eastAsia="Times New Roman"/>
                <w:b/>
                <w:szCs w:val="22"/>
                <w:lang w:eastAsia="it-IT"/>
              </w:rPr>
              <w:t>UTILE DI ESERCIZIO</w:t>
            </w:r>
          </w:p>
        </w:tc>
        <w:tc>
          <w:tcPr>
            <w:tcW w:w="1705" w:type="dxa"/>
            <w:shd w:val="clear" w:color="auto" w:fill="auto"/>
            <w:noWrap/>
          </w:tcPr>
          <w:p w:rsidR="00A77AF0" w:rsidRPr="006D4243" w:rsidRDefault="00A77AF0" w:rsidP="00A77AF0">
            <w:pPr>
              <w:spacing w:after="0" w:line="240" w:lineRule="auto"/>
              <w:rPr>
                <w:rFonts w:eastAsia="Times New Roman"/>
                <w:b/>
                <w:szCs w:val="22"/>
                <w:lang w:eastAsia="it-IT"/>
              </w:rPr>
            </w:pPr>
            <w:r w:rsidRPr="006D4243">
              <w:rPr>
                <w:rFonts w:eastAsia="Times New Roman"/>
                <w:b/>
                <w:szCs w:val="22"/>
                <w:lang w:eastAsia="it-IT"/>
              </w:rPr>
              <w:t>1.362</w:t>
            </w:r>
          </w:p>
        </w:tc>
      </w:tr>
    </w:tbl>
    <w:p w:rsidR="00CF4A8E" w:rsidRPr="006D4243" w:rsidRDefault="00CF4A8E">
      <w:pPr>
        <w:rPr>
          <w:szCs w:val="22"/>
        </w:rPr>
      </w:pPr>
    </w:p>
    <w:p w:rsidR="00A77AF0" w:rsidRPr="006D4243" w:rsidRDefault="00A77AF0" w:rsidP="00A77AF0">
      <w:pPr>
        <w:autoSpaceDE w:val="0"/>
        <w:autoSpaceDN w:val="0"/>
        <w:adjustRightInd w:val="0"/>
        <w:spacing w:after="0" w:line="240" w:lineRule="auto"/>
        <w:rPr>
          <w:rFonts w:cs="Verdana"/>
          <w:szCs w:val="22"/>
        </w:rPr>
      </w:pPr>
      <w:r w:rsidRPr="006D4243">
        <w:rPr>
          <w:rFonts w:eastAsia="Carlito" w:cs="Calibri"/>
          <w:szCs w:val="22"/>
        </w:rPr>
        <w:t>Si</w:t>
      </w:r>
      <w:r w:rsidRPr="006D4243">
        <w:rPr>
          <w:rFonts w:eastAsia="Carlito" w:cs="Calibri"/>
          <w:szCs w:val="22"/>
        </w:rPr>
        <w:t xml:space="preserve"> propone</w:t>
      </w:r>
      <w:r w:rsidRPr="006D4243">
        <w:rPr>
          <w:rFonts w:eastAsia="Carlito" w:cs="Calibri"/>
          <w:szCs w:val="22"/>
        </w:rPr>
        <w:t xml:space="preserve"> </w:t>
      </w:r>
      <w:bookmarkStart w:id="0" w:name="_GoBack"/>
      <w:bookmarkEnd w:id="0"/>
      <w:r w:rsidRPr="006D4243">
        <w:rPr>
          <w:rFonts w:eastAsia="Carlito" w:cs="Calibri"/>
          <w:szCs w:val="22"/>
        </w:rPr>
        <w:t>la destinazione dell</w:t>
      </w:r>
      <w:r w:rsidRPr="006D4243">
        <w:rPr>
          <w:rFonts w:cs="Calibri"/>
          <w:szCs w:val="22"/>
        </w:rPr>
        <w:t>’</w:t>
      </w:r>
      <w:r w:rsidRPr="006D4243">
        <w:rPr>
          <w:rFonts w:eastAsia="Carlito" w:cs="Calibri"/>
          <w:szCs w:val="22"/>
        </w:rPr>
        <w:t xml:space="preserve">utile di esercizio di € </w:t>
      </w:r>
      <w:r w:rsidR="006D4243" w:rsidRPr="006D4243">
        <w:rPr>
          <w:rFonts w:eastAsia="Carlito" w:cs="Calibri"/>
          <w:szCs w:val="22"/>
        </w:rPr>
        <w:t>1.362</w:t>
      </w:r>
      <w:r w:rsidRPr="006D4243">
        <w:rPr>
          <w:rFonts w:eastAsia="Carlito" w:cs="Calibri"/>
          <w:szCs w:val="22"/>
        </w:rPr>
        <w:t xml:space="preserve"> a</w:t>
      </w:r>
      <w:r w:rsidR="006D4243" w:rsidRPr="006D4243">
        <w:rPr>
          <w:rFonts w:eastAsia="Carlito" w:cs="Calibri"/>
          <w:szCs w:val="22"/>
        </w:rPr>
        <w:t>l fondo di dotazione</w:t>
      </w:r>
      <w:r w:rsidR="006D4243">
        <w:rPr>
          <w:rFonts w:eastAsia="Carlito" w:cs="Calibri"/>
          <w:szCs w:val="22"/>
        </w:rPr>
        <w:t>.</w:t>
      </w:r>
    </w:p>
    <w:p w:rsidR="00A77AF0" w:rsidRPr="006D4243" w:rsidRDefault="00A77AF0" w:rsidP="00A77AF0">
      <w:pPr>
        <w:autoSpaceDE w:val="0"/>
        <w:autoSpaceDN w:val="0"/>
        <w:adjustRightInd w:val="0"/>
        <w:spacing w:after="0" w:line="240" w:lineRule="auto"/>
        <w:rPr>
          <w:rFonts w:cs="Verdana"/>
          <w:szCs w:val="22"/>
        </w:rPr>
      </w:pPr>
      <w:r w:rsidRPr="006D4243">
        <w:rPr>
          <w:rFonts w:cs="Verdana"/>
          <w:szCs w:val="22"/>
        </w:rPr>
        <w:t xml:space="preserve">In conclusione si rende noto che il presente </w:t>
      </w:r>
      <w:r w:rsidRPr="006D4243">
        <w:rPr>
          <w:rFonts w:cs="Verdana"/>
          <w:szCs w:val="22"/>
        </w:rPr>
        <w:t xml:space="preserve">bilancio consuntivo </w:t>
      </w:r>
      <w:r w:rsidRPr="006D4243">
        <w:rPr>
          <w:rFonts w:cs="Verdana"/>
          <w:szCs w:val="22"/>
        </w:rPr>
        <w:t>ha</w:t>
      </w:r>
      <w:r w:rsidRPr="006D4243">
        <w:rPr>
          <w:rFonts w:cs="Verdana"/>
          <w:szCs w:val="22"/>
        </w:rPr>
        <w:t xml:space="preserve"> avuto il parere favorevole del </w:t>
      </w:r>
      <w:r w:rsidRPr="006D4243">
        <w:rPr>
          <w:rFonts w:cs="Verdana"/>
          <w:szCs w:val="22"/>
        </w:rPr>
        <w:t xml:space="preserve">sindaco revisore e pertanto se ne chiede l'approvazione </w:t>
      </w:r>
      <w:r w:rsidRPr="006D4243">
        <w:rPr>
          <w:rFonts w:cs="Verdana"/>
          <w:szCs w:val="22"/>
        </w:rPr>
        <w:t>da parte dell’assemblea dei soci.</w:t>
      </w:r>
    </w:p>
    <w:p w:rsidR="00A77AF0" w:rsidRPr="006D4243" w:rsidRDefault="00A77AF0" w:rsidP="00A77AF0">
      <w:pPr>
        <w:autoSpaceDE w:val="0"/>
        <w:autoSpaceDN w:val="0"/>
        <w:adjustRightInd w:val="0"/>
        <w:spacing w:after="0" w:line="240" w:lineRule="auto"/>
        <w:rPr>
          <w:rFonts w:cs="Verdana"/>
          <w:szCs w:val="22"/>
        </w:rPr>
      </w:pPr>
    </w:p>
    <w:p w:rsidR="00A77AF0" w:rsidRPr="006D4243" w:rsidRDefault="00A77AF0" w:rsidP="00A77AF0">
      <w:pPr>
        <w:autoSpaceDE w:val="0"/>
        <w:autoSpaceDN w:val="0"/>
        <w:adjustRightInd w:val="0"/>
        <w:spacing w:after="0" w:line="240" w:lineRule="auto"/>
        <w:rPr>
          <w:rFonts w:cs="Verdana"/>
          <w:szCs w:val="22"/>
        </w:rPr>
      </w:pPr>
      <w:r w:rsidRPr="006D4243">
        <w:rPr>
          <w:rFonts w:cs="Verdana"/>
          <w:szCs w:val="22"/>
        </w:rPr>
        <w:t>Il Presidente</w:t>
      </w:r>
    </w:p>
    <w:p w:rsidR="00A77AF0" w:rsidRPr="006D4243" w:rsidRDefault="00A77AF0" w:rsidP="00A77AF0">
      <w:pPr>
        <w:autoSpaceDE w:val="0"/>
        <w:autoSpaceDN w:val="0"/>
        <w:adjustRightInd w:val="0"/>
        <w:spacing w:after="0" w:line="240" w:lineRule="auto"/>
        <w:rPr>
          <w:rFonts w:cs="Verdana"/>
          <w:szCs w:val="22"/>
        </w:rPr>
      </w:pPr>
      <w:r w:rsidRPr="006D4243">
        <w:rPr>
          <w:rFonts w:cs="Verdana"/>
          <w:szCs w:val="22"/>
        </w:rPr>
        <w:t>Massimo Vita</w:t>
      </w:r>
    </w:p>
    <w:sectPr w:rsidR="00A77AF0" w:rsidRPr="006D4243" w:rsidSect="006245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C3"/>
    <w:rsid w:val="00034FAD"/>
    <w:rsid w:val="000C37DA"/>
    <w:rsid w:val="001902C1"/>
    <w:rsid w:val="001F7F12"/>
    <w:rsid w:val="00200906"/>
    <w:rsid w:val="00246220"/>
    <w:rsid w:val="002B7EB0"/>
    <w:rsid w:val="002C78A0"/>
    <w:rsid w:val="00385016"/>
    <w:rsid w:val="004118E3"/>
    <w:rsid w:val="00444824"/>
    <w:rsid w:val="00624517"/>
    <w:rsid w:val="00645598"/>
    <w:rsid w:val="006D4243"/>
    <w:rsid w:val="00752DEC"/>
    <w:rsid w:val="00917096"/>
    <w:rsid w:val="009D088B"/>
    <w:rsid w:val="00A441CA"/>
    <w:rsid w:val="00A77AF0"/>
    <w:rsid w:val="00AC08C3"/>
    <w:rsid w:val="00BC56FF"/>
    <w:rsid w:val="00C82AF0"/>
    <w:rsid w:val="00CD4EE6"/>
    <w:rsid w:val="00CF4A8E"/>
    <w:rsid w:val="00CF663C"/>
    <w:rsid w:val="00E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61EC"/>
  <w15:chartTrackingRefBased/>
  <w15:docId w15:val="{51B48456-0C86-4FC4-A97C-1CEED2C7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A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7096"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Normal">
    <w:name w:val="[Normal]"/>
    <w:rsid w:val="0091709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Liberation Serif"/>
      <w:kern w:val="3"/>
      <w:sz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 italiana ciechi siena</dc:creator>
  <cp:keywords/>
  <dc:description/>
  <cp:lastModifiedBy>unione italiana ciechi siena</cp:lastModifiedBy>
  <cp:revision>3</cp:revision>
  <dcterms:created xsi:type="dcterms:W3CDTF">2021-03-24T14:09:00Z</dcterms:created>
  <dcterms:modified xsi:type="dcterms:W3CDTF">2021-03-24T16:29:00Z</dcterms:modified>
</cp:coreProperties>
</file>